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6237" w:leader="none"/>
        </w:tabs>
        <w:spacing w:before="0" w:after="180"/>
        <w:rPr>
          <w:sz w:val="20"/>
          <w:szCs w:val="20"/>
          <w:lang w:val="sr-RS"/>
        </w:rPr>
      </w:pPr>
      <w:r>
        <w:rPr>
          <w:b/>
          <w:bCs/>
          <w:sz w:val="20"/>
          <w:szCs w:val="20"/>
          <w:lang w:val="sr-RS"/>
        </w:rPr>
        <w:t>5.2. Táblázat</w:t>
      </w:r>
      <w:r>
        <w:rPr>
          <w:b/>
          <w:bCs/>
          <w:sz w:val="20"/>
          <w:szCs w:val="20"/>
          <w:lang w:val="hu-HU"/>
        </w:rPr>
        <w:t xml:space="preserve"> - </w:t>
      </w:r>
      <w:r>
        <w:rPr>
          <w:b w:val="false"/>
          <w:bCs w:val="false"/>
          <w:sz w:val="20"/>
          <w:szCs w:val="20"/>
          <w:lang w:val="hu-HU"/>
        </w:rPr>
        <w:t>Tantárgyleírás</w:t>
      </w:r>
      <w:r>
        <w:rPr>
          <w:bCs/>
          <w:sz w:val="20"/>
          <w:szCs w:val="20"/>
          <w:lang w:val="sr-RS"/>
        </w:rPr>
        <w:tab/>
      </w:r>
      <w:r>
        <w:rPr>
          <w:bCs/>
          <w:sz w:val="20"/>
          <w:szCs w:val="20"/>
          <w:lang w:val="hu-HU"/>
        </w:rPr>
        <w:t>Tantárgy kódja</w:t>
      </w:r>
      <w:r>
        <w:rPr>
          <w:bCs/>
          <w:sz w:val="20"/>
          <w:szCs w:val="20"/>
          <w:lang w:val="sr-RS"/>
        </w:rPr>
        <w:t>: K-3-2-1-3</w:t>
      </w:r>
    </w:p>
    <w:tbl>
      <w:tblPr>
        <w:tblW w:w="9080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512"/>
        <w:gridCol w:w="679"/>
        <w:gridCol w:w="1475"/>
        <w:gridCol w:w="2354"/>
        <w:gridCol w:w="707"/>
        <w:gridCol w:w="1144"/>
      </w:tblGrid>
      <w:tr>
        <w:trPr>
          <w:trHeight w:val="227" w:hRule="atLeast"/>
        </w:trPr>
        <w:tc>
          <w:tcPr>
            <w:tcW w:w="9080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</w:tcPr>
          <w:p>
            <w:pPr>
              <w:pStyle w:val="Normal"/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Oktatási program/oktatási programok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  <w:r>
              <w:rPr>
                <w:sz w:val="20"/>
                <w:szCs w:val="20"/>
                <w:lang w:val="sr-RS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>OKLEVELES KOMMUNIKÁTOR</w:t>
            </w:r>
          </w:p>
        </w:tc>
      </w:tr>
      <w:tr>
        <w:trPr>
          <w:trHeight w:val="227" w:hRule="atLeast"/>
        </w:trPr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A tanulmányok fajtája és szintje:</w:t>
            </w:r>
            <w:r>
              <w:rPr>
                <w:sz w:val="20"/>
                <w:szCs w:val="20"/>
                <w:lang w:val="sr-RS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>egyetemi alapképzés</w:t>
            </w:r>
            <w:r>
              <w:rPr>
                <w:sz w:val="20"/>
                <w:szCs w:val="20"/>
                <w:lang w:val="sr-RS"/>
              </w:rPr>
              <w:t xml:space="preserve"> – </w:t>
            </w:r>
            <w:r>
              <w:rPr>
                <w:sz w:val="20"/>
                <w:szCs w:val="20"/>
                <w:lang w:val="hu-HU"/>
              </w:rPr>
              <w:t>elsőfokú tanulmányok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ind w:left="1736" w:hanging="1736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Tantárgy neve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  <w:r>
              <w:rPr>
                <w:sz w:val="20"/>
                <w:szCs w:val="20"/>
                <w:lang w:val="sr-RS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INTERKULTURÁLIS KOMMUNIKÁCIÓ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Tanár</w:t>
            </w:r>
            <w:r>
              <w:rPr>
                <w:bCs/>
                <w:sz w:val="20"/>
                <w:szCs w:val="20"/>
                <w:lang w:val="sr-RS"/>
              </w:rPr>
              <w:t xml:space="preserve"> (</w:t>
            </w:r>
            <w:r>
              <w:rPr>
                <w:sz w:val="20"/>
                <w:szCs w:val="20"/>
                <w:lang w:val="hu-HU"/>
              </w:rPr>
              <w:t>Név, középső betű, vezetéknév)</w:t>
            </w:r>
            <w:r>
              <w:rPr>
                <w:sz w:val="20"/>
                <w:szCs w:val="20"/>
                <w:lang w:val="sr-RS"/>
              </w:rPr>
              <w:t xml:space="preserve">: </w:t>
            </w:r>
            <w:r>
              <w:rPr>
                <w:sz w:val="20"/>
                <w:szCs w:val="20"/>
                <w:lang w:val="hu-HU"/>
              </w:rPr>
              <w:t>Bertalan B. Pusztai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Tantárgy státusza:</w:t>
            </w:r>
            <w:r>
              <w:rPr>
                <w:b/>
                <w:sz w:val="20"/>
                <w:szCs w:val="20"/>
                <w:lang w:val="sr-RS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Kötelező</w:t>
            </w:r>
            <w:r>
              <w:rPr>
                <w:b/>
                <w:sz w:val="20"/>
                <w:szCs w:val="20"/>
                <w:lang w:val="sr-RS"/>
              </w:rPr>
              <w:t xml:space="preserve">, 2. </w:t>
            </w:r>
            <w:r>
              <w:rPr>
                <w:b/>
                <w:sz w:val="20"/>
                <w:szCs w:val="20"/>
                <w:lang w:val="hu-HU"/>
              </w:rPr>
              <w:t>szemeszter</w:t>
            </w:r>
            <w:r>
              <w:rPr>
                <w:b/>
                <w:sz w:val="20"/>
                <w:szCs w:val="20"/>
                <w:lang w:val="sr-RS"/>
              </w:rPr>
              <w:t>, 1+1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ECTS pontszám</w:t>
            </w:r>
            <w:r>
              <w:rPr>
                <w:b/>
                <w:sz w:val="20"/>
                <w:szCs w:val="20"/>
                <w:lang w:val="sr-RS"/>
              </w:rPr>
              <w:t>: 2 (</w:t>
            </w:r>
            <w:r>
              <w:rPr>
                <w:b/>
                <w:sz w:val="20"/>
                <w:szCs w:val="20"/>
                <w:lang w:val="hu-HU"/>
              </w:rPr>
              <w:t>kettő</w:t>
            </w:r>
            <w:r>
              <w:rPr>
                <w:b/>
                <w:sz w:val="20"/>
                <w:szCs w:val="20"/>
                <w:lang w:val="sr-RS"/>
              </w:rPr>
              <w:t>)</w:t>
            </w:r>
          </w:p>
        </w:tc>
      </w:tr>
      <w:tr>
        <w:trPr>
          <w:trHeight w:val="227" w:hRule="atLeast"/>
        </w:trPr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Feltétel:</w:t>
            </w:r>
            <w:r>
              <w:rPr>
                <w:sz w:val="20"/>
                <w:szCs w:val="20"/>
                <w:lang w:val="sr-RS"/>
              </w:rPr>
              <w:t xml:space="preserve"> -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Tantárgy célja:</w:t>
            </w:r>
          </w:p>
          <w:p>
            <w:pPr>
              <w:pStyle w:val="Normal"/>
              <w:spacing w:before="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Hogy a diákok megismerjék az interkulturális kommunikáció helyével, szerepével és fontosabb összetevőivel. A bevezető részben tisztázzuk az interkulturális kommunikáció fogalmát és történelmi aspektusait. A kurzus fontos részét képezi a kultúra fogalmának különféle értelmezései, illetve az interkulturális kommunikáció, az európai néprajz/kulturális antropológia és a művelődéstudomány közötti kapcsolatok. Emellett szó lesz a kulturális találkozási pontok különböző formáiról, az identitás meghatározásáról és a kultúra, valamint az identitás közötti kapcsolatról. A migrációk társadalmi és kulturális hatásait is érintjük.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 xml:space="preserve">A tantárgy eredménye: </w:t>
            </w:r>
          </w:p>
          <w:p>
            <w:pPr>
              <w:pStyle w:val="Normal"/>
              <w:spacing w:before="0" w:after="40"/>
              <w:jc w:val="both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lang w:val="hu-HU"/>
              </w:rPr>
              <w:t xml:space="preserve">A diákok teljes képet alkotnak az interkulturális kommunikáció fogalmáról, elemeiről és jellemzőiről, illetve annak társadalmi kötődéseiről és integráltságáról. 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Tantárgy tartalma: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  <w:lang w:val="hu-HU"/>
              </w:rPr>
              <w:t>Elméleti oktatás:</w:t>
            </w:r>
          </w:p>
          <w:p>
            <w:pPr>
              <w:pStyle w:val="Normal"/>
              <w:spacing w:before="0" w:after="6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hu-HU"/>
              </w:rPr>
              <w:t>Az előadások témái: az interkulturális kommunikáció jelentése, története és jelentősége, a kultúra fogalmának szociogenézise, a kultúra esztétika és antropológiai aspektusai, a kultúra kritikai szemléletű kutatása, népi kultúra, pop kultúra, kultúra és identitás, hibridizáció és kreolizáció, multikulturalizmus, utazások és kulturális találkozási pontok, etnikum és kultúrák találkozása.</w:t>
            </w:r>
          </w:p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hu-HU"/>
              </w:rPr>
              <w:t>Gyakorlatok</w:t>
            </w:r>
            <w:r>
              <w:rPr>
                <w:sz w:val="20"/>
                <w:szCs w:val="20"/>
                <w:lang w:val="sr-RS"/>
              </w:rPr>
              <w:t>:</w:t>
            </w:r>
          </w:p>
          <w:p>
            <w:pPr>
              <w:pStyle w:val="Normal"/>
              <w:spacing w:before="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A diákok állspontjainak és véleményének formálása (szóbeli vagy írásbeli), vita különböző fogalmakról, jelenségekről és értékekről az interkulturális kommunikáció vonatkozásában,</w:t>
            </w:r>
            <w:r>
              <w:rPr>
                <w:sz w:val="20"/>
                <w:szCs w:val="20"/>
                <w:lang w:val="sr-RS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>ezek tartalmi elemzése, összetevőinek értékelése és jelentőségének mértéke.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ind w:left="1134" w:hanging="1134"/>
              <w:jc w:val="both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Szakirodalom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  <w:p>
            <w:pPr>
              <w:pStyle w:val="Normal"/>
              <w:ind w:left="1134" w:hanging="1134"/>
              <w:jc w:val="both"/>
              <w:rPr>
                <w:i/>
                <w:i/>
                <w:sz w:val="20"/>
                <w:szCs w:val="20"/>
                <w:lang w:val="sr-RS"/>
              </w:rPr>
            </w:pPr>
            <w:r>
              <w:rPr>
                <w:b/>
                <w:i/>
                <w:sz w:val="20"/>
                <w:szCs w:val="20"/>
                <w:lang w:val="hu-HU"/>
              </w:rPr>
              <w:t>Kötelező</w:t>
            </w:r>
            <w:r>
              <w:rPr>
                <w:i/>
                <w:sz w:val="20"/>
                <w:szCs w:val="20"/>
                <w:lang w:val="sr-RS"/>
              </w:rPr>
              <w:t>: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 xml:space="preserve">Hidasi Judit (szerk.) (1998): </w:t>
            </w:r>
            <w:r>
              <w:rPr>
                <w:i/>
                <w:sz w:val="20"/>
                <w:szCs w:val="20"/>
                <w:lang w:val="hu-HU"/>
              </w:rPr>
              <w:t>Szavak, jelek, szokások</w:t>
            </w:r>
            <w:r>
              <w:rPr>
                <w:sz w:val="20"/>
                <w:szCs w:val="20"/>
                <w:lang w:val="hu-HU"/>
              </w:rPr>
              <w:t>. Budapest: Windsor (csak a bevezető tanulmány).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 xml:space="preserve">Kapitány Ágnes - Kapitány Gábor (1995): </w:t>
            </w:r>
            <w:r>
              <w:rPr>
                <w:i/>
                <w:sz w:val="20"/>
                <w:szCs w:val="20"/>
                <w:lang w:val="hu-HU"/>
              </w:rPr>
              <w:t>Rejtjelek 2</w:t>
            </w:r>
            <w:r>
              <w:rPr>
                <w:sz w:val="20"/>
                <w:szCs w:val="20"/>
                <w:lang w:val="hu-HU"/>
              </w:rPr>
              <w:t>. Budapest: Kossuth, 179-194. o.</w:t>
            </w:r>
          </w:p>
          <w:p>
            <w:pPr>
              <w:pStyle w:val="Normal"/>
              <w:ind w:left="1701" w:hanging="1701"/>
              <w:rPr>
                <w:sz w:val="14"/>
                <w:szCs w:val="14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Niedermüller Péter (1999): </w:t>
            </w:r>
            <w:r>
              <w:rPr>
                <w:i/>
                <w:sz w:val="20"/>
                <w:szCs w:val="20"/>
                <w:lang w:val="hu-HU"/>
              </w:rPr>
              <w:t>A kultúraközi kommunikációról</w:t>
            </w:r>
            <w:r>
              <w:rPr>
                <w:sz w:val="20"/>
                <w:szCs w:val="20"/>
                <w:lang w:val="hu-HU"/>
              </w:rPr>
              <w:t>. In: Béres I. – Horányi Ö. (szerk.): Társadalmi kommunikáció. Budapest: Osiris, 96-111. o. (</w:t>
            </w:r>
            <w:hyperlink r:id="rId2">
              <w:r>
                <w:rPr>
                  <w:rStyle w:val="InternetLink"/>
                  <w:sz w:val="20"/>
                  <w:szCs w:val="20"/>
                  <w:lang w:val="hu-HU"/>
                </w:rPr>
                <w:t>http://www.communicatio.hu/konyvek/beres_horanyi_tarsadalmi_kommunikacio/niedermuller_peter_a_kulturakozi_</w:t>
              </w:r>
              <w:r>
                <w:rPr>
                  <w:rStyle w:val="InternetLink"/>
                  <w:sz w:val="20"/>
                  <w:szCs w:val="20"/>
                  <w:lang w:val="sr-RS"/>
                </w:rPr>
                <w:t xml:space="preserve"> </w:t>
              </w:r>
              <w:r>
                <w:rPr>
                  <w:rStyle w:val="InternetLink"/>
                  <w:sz w:val="20"/>
                  <w:szCs w:val="20"/>
                  <w:lang w:val="hu-HU"/>
                </w:rPr>
                <w:t>kommunikaciorol.DOC</w:t>
              </w:r>
            </w:hyperlink>
            <w:r>
              <w:rPr>
                <w:sz w:val="20"/>
                <w:szCs w:val="20"/>
                <w:lang w:val="hu-HU"/>
              </w:rPr>
              <w:t>).</w:t>
            </w:r>
          </w:p>
          <w:p>
            <w:pPr>
              <w:pStyle w:val="Normal"/>
              <w:ind w:left="1701" w:hanging="1701"/>
              <w:rPr/>
            </w:pPr>
            <w:r>
              <w:rPr>
                <w:sz w:val="20"/>
                <w:szCs w:val="20"/>
                <w:lang w:val="hu-HU"/>
              </w:rPr>
              <w:t xml:space="preserve">Szijártó Zs. (1999): </w:t>
            </w:r>
            <w:r>
              <w:rPr>
                <w:i/>
                <w:sz w:val="20"/>
                <w:szCs w:val="20"/>
                <w:lang w:val="hu-HU"/>
              </w:rPr>
              <w:t>A társadalmi kommunikáció a kultúraelmélet perspektívájából</w:t>
            </w:r>
            <w:r>
              <w:rPr>
                <w:sz w:val="20"/>
                <w:szCs w:val="20"/>
                <w:lang w:val="hu-HU"/>
              </w:rPr>
              <w:t>. In: Béres I. – Horányi Ö. (szerk.): Társadalmi kommunikáció. Budapest: Osiris. (</w:t>
            </w:r>
            <w:hyperlink r:id="rId3">
              <w:r>
                <w:rPr>
                  <w:rStyle w:val="InternetLink"/>
                  <w:sz w:val="20"/>
                  <w:szCs w:val="20"/>
                  <w:lang w:val="hu-HU"/>
                </w:rPr>
                <w:t>http://www.communicatio.hu/konyvek/beres_horanyi_tarsadalmi_</w:t>
              </w:r>
            </w:hyperlink>
            <w:r>
              <w:rPr>
                <w:sz w:val="20"/>
                <w:szCs w:val="20"/>
                <w:lang w:val="hu-HU"/>
              </w:rPr>
              <w:t>kommunikacio/szijarto_zsolt_a_tarsadalmi_</w:t>
            </w:r>
            <w:r>
              <w:rPr>
                <w:sz w:val="20"/>
                <w:szCs w:val="20"/>
                <w:lang w:val="sr-RS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>kommunikacio_a_kulturaelmelet_perspektivajabol.DOC)</w:t>
            </w:r>
          </w:p>
          <w:p>
            <w:pPr>
              <w:pStyle w:val="Normal"/>
              <w:ind w:left="1134" w:hanging="1134"/>
              <w:jc w:val="both"/>
              <w:rPr>
                <w:i/>
                <w:i/>
                <w:sz w:val="20"/>
                <w:szCs w:val="20"/>
                <w:lang w:val="sr-RS"/>
              </w:rPr>
            </w:pPr>
            <w:r>
              <w:rPr>
                <w:i/>
                <w:sz w:val="20"/>
                <w:szCs w:val="20"/>
                <w:lang w:val="hu-HU"/>
              </w:rPr>
              <w:t>Ajánlott:</w:t>
            </w:r>
          </w:p>
          <w:p>
            <w:pPr>
              <w:pStyle w:val="Normal"/>
              <w:suppressAutoHyphens w:val="true"/>
              <w:autoSpaceDE w:val="false"/>
              <w:jc w:val="both"/>
              <w:rPr>
                <w:sz w:val="14"/>
                <w:szCs w:val="14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Em Griffin: Bevezetés a kommunikációelméletbe. Budapest, Harmat, 2001, 345-356., 398-440. </w:t>
            </w:r>
            <w:r>
              <w:rPr>
                <w:iCs/>
                <w:sz w:val="20"/>
                <w:szCs w:val="20"/>
                <w:lang w:val="hu-HU"/>
              </w:rPr>
              <w:t xml:space="preserve">Földes Csaba: </w:t>
            </w:r>
            <w:r>
              <w:rPr>
                <w:bCs/>
                <w:sz w:val="20"/>
                <w:szCs w:val="20"/>
                <w:lang w:val="hu-HU"/>
              </w:rPr>
              <w:t xml:space="preserve">‘Interkulturális kommunikáció: koncepciók, módszerek, kérdőjelek </w:t>
            </w:r>
            <w:hyperlink r:id="rId4">
              <w:r>
                <w:rPr>
                  <w:rStyle w:val="InternetLink"/>
                  <w:sz w:val="20"/>
                  <w:szCs w:val="20"/>
                  <w:lang w:val="hu-HU"/>
                </w:rPr>
                <w:t>http://www.foeldes.eu/sites/default/files/Interkulturalis_kommunikacio.pdf</w:t>
              </w:r>
            </w:hyperlink>
            <w:r>
              <w:rPr>
                <w:sz w:val="20"/>
                <w:szCs w:val="20"/>
                <w:lang w:val="hu-HU"/>
              </w:rPr>
              <w:t>. Járosi Katalin: A kultúra- és etnotudományok útkeresései az interkulturális kommunikáció jelensége körül. In: Havasréti J. – Szijártó Zs. (szerk.): Reflexió(k) vagy mélyfúrások. Bp. – Pécs, 2008, 11-22. Boromisza Dávid: Az interkulturális félreértés kutatásának főbb irányzatai – Szociológiai Szemle 2003/4. 76-84. (http://www.tarsadalomkutatas.hu/kkk.php?TPUBL-A-489/szoc_szemle/TPUBL-A-489.pdf) Ulf Hannerz: A kozmopoliták és a helyiek a világkultúrában. In: Biczó G. (szerk.): Az Idegen. Debrecen, 2004, 178-192. Alain Battegay - Városi kapcsolatok és interkulturális határok (</w:t>
            </w:r>
            <w:hyperlink r:id="rId5">
              <w:r>
                <w:rPr>
                  <w:rStyle w:val="InternetLink"/>
                  <w:sz w:val="20"/>
                  <w:szCs w:val="20"/>
                  <w:lang w:val="hu-HU"/>
                </w:rPr>
                <w:t>http://antroport.hu/</w:t>
              </w:r>
            </w:hyperlink>
            <w:r>
              <w:rPr>
                <w:sz w:val="20"/>
                <w:szCs w:val="20"/>
                <w:lang w:val="hu-HU"/>
              </w:rPr>
              <w:t>lapozo.php?akt_cim=97) Elias, Norbert: A ‘civilizáció’ és a ‘kultúra’ fogalom szociogenézise. In: Uő: A civilizáció folyamata. Budapest: Gondolat, 1987, 101-161. (részletek a Wessely A. (szerk.): A kultúra szociológiája c. kötetben (41-52.).</w:t>
            </w:r>
          </w:p>
        </w:tc>
      </w:tr>
      <w:tr>
        <w:trPr>
          <w:trHeight w:val="227" w:hRule="atLeast"/>
        </w:trPr>
        <w:tc>
          <w:tcPr>
            <w:tcW w:w="7229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Aktív tanítási órák száma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0"/>
                <w:szCs w:val="20"/>
                <w:lang w:val="hu-HU"/>
              </w:rPr>
            </w:pPr>
            <w:r>
              <w:rPr>
                <w:b w:val="false"/>
                <w:bCs w:val="false"/>
                <w:sz w:val="22"/>
                <w:szCs w:val="22"/>
                <w:lang w:val="hu-HU"/>
              </w:rPr>
              <w:t>További órák</w:t>
            </w:r>
          </w:p>
        </w:tc>
      </w:tr>
      <w:tr>
        <w:trPr>
          <w:trHeight w:val="284" w:hRule="atLeast"/>
        </w:trPr>
        <w:tc>
          <w:tcPr>
            <w:tcW w:w="120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0"/>
                <w:szCs w:val="20"/>
                <w:lang w:val="hu-HU"/>
              </w:rPr>
            </w:pPr>
            <w:r>
              <w:rPr>
                <w:b w:val="false"/>
                <w:bCs w:val="false"/>
                <w:sz w:val="20"/>
                <w:szCs w:val="20"/>
                <w:lang w:val="sr-RS"/>
              </w:rPr>
              <w:t>G</w:t>
            </w:r>
            <w:r>
              <w:rPr>
                <w:b w:val="false"/>
                <w:bCs w:val="false"/>
                <w:sz w:val="20"/>
                <w:szCs w:val="20"/>
                <w:lang w:val="hu-HU"/>
              </w:rPr>
              <w:t>yakorlatok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tanítás egyéb formái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Kutatómunka</w:t>
            </w:r>
          </w:p>
        </w:tc>
        <w:tc>
          <w:tcPr>
            <w:tcW w:w="185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</w:tr>
      <w:tr>
        <w:trPr>
          <w:trHeight w:val="284" w:hRule="atLeast"/>
        </w:trPr>
        <w:tc>
          <w:tcPr>
            <w:tcW w:w="120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1 (15)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1 (15)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0 (0)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0 (0)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0 (0)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A tanítás során alkalmazott módszerek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  <w:p>
            <w:pPr>
              <w:pStyle w:val="Normal"/>
              <w:spacing w:before="0" w:after="40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  <w:lang w:val="hu-HU"/>
              </w:rPr>
              <w:t>Előadások, viták, gyakorlatok, prezentációk, önálló munka.</w:t>
            </w:r>
          </w:p>
        </w:tc>
      </w:tr>
      <w:tr>
        <w:trPr/>
        <w:tc>
          <w:tcPr>
            <w:tcW w:w="9080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A tudás osztályozása</w:t>
            </w:r>
            <w:r>
              <w:rPr>
                <w:b/>
                <w:sz w:val="20"/>
                <w:szCs w:val="20"/>
                <w:lang w:val="sr-RS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max. pontszám</w:t>
            </w:r>
            <w:r>
              <w:rPr>
                <w:b/>
                <w:sz w:val="20"/>
                <w:szCs w:val="20"/>
                <w:lang w:val="sr-RS"/>
              </w:rPr>
              <w:t xml:space="preserve"> 100)</w:t>
            </w:r>
          </w:p>
        </w:tc>
      </w:tr>
      <w:tr>
        <w:trPr>
          <w:trHeight w:val="284" w:hRule="atLeast"/>
        </w:trPr>
        <w:tc>
          <w:tcPr>
            <w:tcW w:w="3400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/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Vizsga előtti kötelezettségek: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Pontszám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</w:tc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Záróvizsga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 xml:space="preserve"> </w:t>
            </w:r>
            <w:r>
              <w:rPr>
                <w:b/>
                <w:sz w:val="20"/>
                <w:szCs w:val="20"/>
                <w:lang w:val="hu-HU"/>
              </w:rPr>
              <w:t>Pontszám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</w:tc>
      </w:tr>
      <w:tr>
        <w:trPr>
          <w:trHeight w:val="284" w:hRule="atLeast"/>
        </w:trPr>
        <w:tc>
          <w:tcPr>
            <w:tcW w:w="3400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sr-RS"/>
              </w:rPr>
            </w:pPr>
            <w:r>
              <w:rPr>
                <w:b w:val="false"/>
                <w:bCs w:val="false"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sr-RS"/>
              </w:rPr>
            </w:pPr>
            <w:r>
              <w:rPr>
                <w:b w:val="false"/>
                <w:bCs w:val="false"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4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</w:p>
        </w:tc>
      </w:tr>
      <w:tr>
        <w:trPr>
          <w:trHeight w:val="284" w:hRule="atLeast"/>
        </w:trPr>
        <w:tc>
          <w:tcPr>
            <w:tcW w:w="3400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</w:tc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</w:tr>
      <w:tr>
        <w:trPr>
          <w:trHeight w:val="284" w:hRule="atLeast"/>
        </w:trPr>
        <w:tc>
          <w:tcPr>
            <w:tcW w:w="3400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lang w:val="hu-HU"/>
              </w:rPr>
            </w:pPr>
            <w:r>
              <w:rPr>
                <w:sz w:val="22"/>
                <w:szCs w:val="22"/>
                <w:lang w:val="sr-RS"/>
              </w:rPr>
              <w:t>S</w:t>
            </w:r>
            <w:r>
              <w:rPr>
                <w:sz w:val="22"/>
                <w:szCs w:val="22"/>
                <w:lang w:val="hu-HU"/>
              </w:rPr>
              <w:t>zemináriumi munka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30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</w:tr>
    </w:tbl>
    <w:p>
      <w:pPr>
        <w:pStyle w:val="Normal"/>
        <w:rPr>
          <w:sz w:val="20"/>
          <w:szCs w:val="20"/>
          <w:lang w:val="sr-RS"/>
        </w:rPr>
      </w:pPr>
      <w:r>
        <w:rPr>
          <w:sz w:val="20"/>
          <w:szCs w:val="20"/>
          <w:lang w:val="sr-RS"/>
        </w:rPr>
      </w:r>
    </w:p>
    <w:sectPr>
      <w:type w:val="nextPage"/>
      <w:pgSz w:w="11906" w:h="16838"/>
      <w:pgMar w:left="1418" w:right="1418" w:header="0" w:top="1418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qFormat/>
    <w:rPr/>
  </w:style>
  <w:style w:type="character" w:styleId="Oldal">
    <w:name w:val="oldal"/>
    <w:qFormat/>
    <w:rPr/>
  </w:style>
  <w:style w:type="character" w:styleId="Folyoirat">
    <w:name w:val="folyoirat"/>
    <w:qFormat/>
    <w:rPr/>
  </w:style>
  <w:style w:type="character" w:styleId="Kotet">
    <w:name w:val="kotet"/>
    <w:qFormat/>
    <w:rPr/>
  </w:style>
  <w:style w:type="character" w:styleId="InternetLink">
    <w:name w:val="Internet Link"/>
    <w:rPr>
      <w:color w:val="0000FF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ommunicatio.hu/konyvek/beres_horanyi_tarsadalmi_kommunikacio/niedermuller_peter_a_kulturakozi_ kommunikaciorol.DOC" TargetMode="External"/><Relationship Id="rId3" Type="http://schemas.openxmlformats.org/officeDocument/2006/relationships/hyperlink" Target="http://www.communicatio.hu/konyvek/beres_horanyi_tarsadalmi_" TargetMode="External"/><Relationship Id="rId4" Type="http://schemas.openxmlformats.org/officeDocument/2006/relationships/hyperlink" Target="http://www.foeldes.eu/sites/default/files/Interkulturalis_kommunikacio.pdf" TargetMode="External"/><Relationship Id="rId5" Type="http://schemas.openxmlformats.org/officeDocument/2006/relationships/hyperlink" Target="http://antroport.hu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175</TotalTime>
  <Application>LibreOffice/6.2.5.2$Windows_X86_64 LibreOffice_project/1ec314fa52f458adc18c4f025c545a4e8b22c159</Application>
  <Pages>2</Pages>
  <Words>459</Words>
  <Characters>3762</Characters>
  <CharactersWithSpaces>4182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2019-07-09T09:34:00Z</dcterms:created>
  <dc:creator>Prof. dr. sc. JOSIP IVANOVIĆ</dc:creator>
  <dc:description/>
  <dc:language>en-GB</dc:language>
  <cp:lastModifiedBy/>
  <cp:lastPrinted>2007-03-03T17:29:00Z</cp:lastPrinted>
  <dcterms:modified xsi:type="dcterms:W3CDTF">2019-08-26T19:46:32Z</dcterms:modified>
  <cp:revision>6</cp:revision>
  <dc:subject/>
  <dc:title>Tab_5_2_K-1-2-2-2 - INTERKULTURALNA KOMUNIKACIJA - SC</dc:title>
</cp:coreProperties>
</file>